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A4D9" w14:textId="77777777" w:rsidR="00551992" w:rsidRDefault="00551992"/>
    <w:tbl>
      <w:tblPr>
        <w:tblStyle w:val="a"/>
        <w:tblW w:w="15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70"/>
        <w:gridCol w:w="7050"/>
      </w:tblGrid>
      <w:tr w:rsidR="00551992" w14:paraId="368121F5" w14:textId="77777777" w:rsidTr="005D0751">
        <w:trPr>
          <w:trHeight w:val="979"/>
        </w:trPr>
        <w:tc>
          <w:tcPr>
            <w:tcW w:w="15720" w:type="dxa"/>
            <w:gridSpan w:val="2"/>
            <w:shd w:val="clear" w:color="auto" w:fill="auto"/>
            <w:tcMar>
              <w:top w:w="100" w:type="dxa"/>
              <w:left w:w="100" w:type="dxa"/>
              <w:bottom w:w="100" w:type="dxa"/>
              <w:right w:w="170" w:type="dxa"/>
            </w:tcMar>
          </w:tcPr>
          <w:p w14:paraId="4D47946D" w14:textId="2E6B369F" w:rsidR="00D90A3F" w:rsidRDefault="004F5B43" w:rsidP="00D90A3F">
            <w:pPr>
              <w:spacing w:line="240" w:lineRule="auto"/>
              <w:ind w:left="720"/>
              <w:jc w:val="center"/>
              <w:rPr>
                <w:rFonts w:ascii="Calibri" w:eastAsia="Calibri" w:hAnsi="Calibri" w:cs="Calibri"/>
              </w:rPr>
            </w:pPr>
            <w:r>
              <w:rPr>
                <w:rFonts w:ascii="Calibri" w:eastAsia="Calibri" w:hAnsi="Calibri" w:cs="Calibri"/>
              </w:rPr>
              <w:t xml:space="preserve">Newspaper report of early criticism ‘An overdue memorial,’ </w:t>
            </w:r>
            <w:r>
              <w:rPr>
                <w:rFonts w:ascii="Calibri" w:eastAsia="Calibri" w:hAnsi="Calibri" w:cs="Calibri"/>
                <w:i/>
              </w:rPr>
              <w:t>Auckland Star</w:t>
            </w:r>
            <w:r>
              <w:rPr>
                <w:rFonts w:ascii="Calibri" w:eastAsia="Calibri" w:hAnsi="Calibri" w:cs="Calibri"/>
              </w:rPr>
              <w:t>, August 18, 1920, p. 4,</w:t>
            </w:r>
          </w:p>
          <w:p w14:paraId="71ED451B" w14:textId="46F43164" w:rsidR="00551992" w:rsidRDefault="00D90A3F" w:rsidP="00D90A3F">
            <w:pPr>
              <w:spacing w:line="240" w:lineRule="auto"/>
              <w:ind w:left="720"/>
              <w:jc w:val="center"/>
              <w:rPr>
                <w:rFonts w:ascii="Calibri" w:eastAsia="Calibri" w:hAnsi="Calibri" w:cs="Calibri"/>
              </w:rPr>
            </w:pPr>
            <w:hyperlink r:id="rId7" w:history="1">
              <w:r w:rsidRPr="003F7923">
                <w:rPr>
                  <w:rStyle w:val="Hyperlink"/>
                  <w:rFonts w:ascii="Calibri" w:eastAsia="Calibri" w:hAnsi="Calibri" w:cs="Calibri"/>
                </w:rPr>
                <w:t>https://paperspast.natlib.govt.nz/newspapers/auckland-star/1920/08/18/4</w:t>
              </w:r>
            </w:hyperlink>
            <w:r w:rsidR="004F5B43">
              <w:rPr>
                <w:rFonts w:ascii="Calibri" w:eastAsia="Calibri" w:hAnsi="Calibri" w:cs="Calibri"/>
              </w:rPr>
              <w:t>.</w:t>
            </w:r>
          </w:p>
        </w:tc>
      </w:tr>
      <w:tr w:rsidR="00551992" w14:paraId="37809796" w14:textId="77777777" w:rsidTr="005D0751">
        <w:tc>
          <w:tcPr>
            <w:tcW w:w="8670" w:type="dxa"/>
            <w:shd w:val="clear" w:color="auto" w:fill="auto"/>
            <w:tcMar>
              <w:top w:w="100" w:type="dxa"/>
              <w:left w:w="100" w:type="dxa"/>
              <w:bottom w:w="100" w:type="dxa"/>
              <w:right w:w="170" w:type="dxa"/>
            </w:tcMar>
          </w:tcPr>
          <w:p w14:paraId="1300854E" w14:textId="77777777" w:rsidR="00551992" w:rsidRDefault="00551992">
            <w:pPr>
              <w:spacing w:line="240" w:lineRule="auto"/>
              <w:rPr>
                <w:rFonts w:ascii="Calibri" w:eastAsia="Calibri" w:hAnsi="Calibri" w:cs="Calibri"/>
              </w:rPr>
            </w:pPr>
          </w:p>
          <w:p w14:paraId="1606B7E3" w14:textId="77777777" w:rsidR="00551992" w:rsidRPr="005D0751" w:rsidRDefault="00551992">
            <w:pPr>
              <w:spacing w:line="240" w:lineRule="auto"/>
              <w:rPr>
                <w:rFonts w:ascii="Calibri" w:eastAsia="Calibri" w:hAnsi="Calibri" w:cs="Calibri"/>
                <w:sz w:val="24"/>
                <w:szCs w:val="24"/>
              </w:rPr>
            </w:pPr>
          </w:p>
          <w:p w14:paraId="1AC93BEF" w14:textId="77777777" w:rsidR="00551992" w:rsidRPr="005D0751" w:rsidRDefault="004F5B43">
            <w:pPr>
              <w:spacing w:line="240" w:lineRule="auto"/>
              <w:ind w:left="567"/>
              <w:rPr>
                <w:rFonts w:ascii="Calibri" w:eastAsia="Calibri" w:hAnsi="Calibri" w:cs="Calibri"/>
                <w:sz w:val="24"/>
                <w:szCs w:val="24"/>
              </w:rPr>
            </w:pPr>
            <w:r w:rsidRPr="005D0751">
              <w:rPr>
                <w:rFonts w:ascii="Calibri" w:eastAsia="Calibri" w:hAnsi="Calibri" w:cs="Calibri"/>
                <w:sz w:val="24"/>
                <w:szCs w:val="24"/>
              </w:rPr>
              <w:t xml:space="preserve">[...] The story of these wars is rich in the interest that springs from heroism, hardship, enterprise, romance, and the clash of races. The memorial was needed, not only to commemorate the sacrifice of the men who fell, but to stimulate interest in the Dominion’s history. Unfortunately, by a surprising mistake, the memorial is limited in its application to the period of 1845-66. We understand these dates were officially supplied to the Victoria League, but why it should have thought that those who fell after 1866 should not be commemorated we do not know, unless it is that this date marks the end of the Imperial troops’ share in the wars. After 1866 there were the campaigns against </w:t>
            </w:r>
            <w:proofErr w:type="spellStart"/>
            <w:r w:rsidRPr="005D0751">
              <w:rPr>
                <w:rFonts w:ascii="Calibri" w:eastAsia="Calibri" w:hAnsi="Calibri" w:cs="Calibri"/>
                <w:sz w:val="24"/>
                <w:szCs w:val="24"/>
              </w:rPr>
              <w:t>Titokowaru</w:t>
            </w:r>
            <w:proofErr w:type="spellEnd"/>
            <w:r w:rsidRPr="005D0751">
              <w:rPr>
                <w:rFonts w:ascii="Calibri" w:eastAsia="Calibri" w:hAnsi="Calibri" w:cs="Calibri"/>
                <w:sz w:val="24"/>
                <w:szCs w:val="24"/>
              </w:rPr>
              <w:t xml:space="preserve"> on the West Coast and the long struggle with Te Kooti, which extended from the Bay of Plenty to Hawke’s Bay, and from Poverty Bay to Taupo and Rotorua. The Te Kooti campaigns were the most remarkable of all. Not only did many gallant men fall in them, but in no other fighting did white men and friendly Maoris [sic] suffer such hardships. This memorial is to the friendly natives as well as to the white soldiers, and it was in the period 1866-1871 that these contingents did their most valuable work. We hope this injustice will at once be rectified.</w:t>
            </w:r>
          </w:p>
          <w:p w14:paraId="350D09B4" w14:textId="77777777" w:rsidR="00551992" w:rsidRDefault="00551992">
            <w:pPr>
              <w:spacing w:line="240" w:lineRule="auto"/>
              <w:ind w:left="567"/>
              <w:rPr>
                <w:rFonts w:ascii="Calibri" w:eastAsia="Calibri" w:hAnsi="Calibri" w:cs="Calibri"/>
              </w:rPr>
            </w:pPr>
          </w:p>
          <w:p w14:paraId="503A1BFA" w14:textId="77777777" w:rsidR="00551992" w:rsidRDefault="00551992">
            <w:pPr>
              <w:spacing w:line="240" w:lineRule="auto"/>
              <w:rPr>
                <w:rFonts w:ascii="Calibri" w:eastAsia="Calibri" w:hAnsi="Calibri" w:cs="Calibri"/>
              </w:rPr>
            </w:pPr>
          </w:p>
          <w:p w14:paraId="60501AA3" w14:textId="77777777" w:rsidR="00551992" w:rsidRDefault="00551992">
            <w:pPr>
              <w:spacing w:line="240" w:lineRule="auto"/>
              <w:rPr>
                <w:rFonts w:ascii="Calibri" w:eastAsia="Calibri" w:hAnsi="Calibri" w:cs="Calibri"/>
                <w:b/>
              </w:rPr>
            </w:pPr>
          </w:p>
          <w:p w14:paraId="7C1AD0BA" w14:textId="77777777" w:rsidR="00551992" w:rsidRDefault="00551992">
            <w:pPr>
              <w:spacing w:line="240" w:lineRule="auto"/>
              <w:rPr>
                <w:rFonts w:ascii="Calibri" w:eastAsia="Calibri" w:hAnsi="Calibri" w:cs="Calibri"/>
              </w:rPr>
            </w:pPr>
          </w:p>
          <w:p w14:paraId="2BC676E4" w14:textId="77777777" w:rsidR="00551992" w:rsidRDefault="00551992">
            <w:pPr>
              <w:spacing w:line="240" w:lineRule="auto"/>
              <w:rPr>
                <w:rFonts w:ascii="Calibri" w:eastAsia="Calibri" w:hAnsi="Calibri" w:cs="Calibri"/>
              </w:rPr>
            </w:pPr>
          </w:p>
          <w:p w14:paraId="77CBE476" w14:textId="77777777" w:rsidR="00551992" w:rsidRDefault="00551992">
            <w:pPr>
              <w:spacing w:line="240" w:lineRule="auto"/>
              <w:rPr>
                <w:rFonts w:ascii="Calibri" w:eastAsia="Calibri" w:hAnsi="Calibri" w:cs="Calibri"/>
                <w:sz w:val="20"/>
                <w:szCs w:val="20"/>
              </w:rPr>
            </w:pPr>
          </w:p>
          <w:p w14:paraId="640888B0" w14:textId="77777777" w:rsidR="00551992" w:rsidRDefault="00551992">
            <w:pPr>
              <w:spacing w:line="240" w:lineRule="auto"/>
              <w:ind w:left="567"/>
              <w:rPr>
                <w:rFonts w:ascii="Calibri" w:eastAsia="Calibri" w:hAnsi="Calibri" w:cs="Calibri"/>
                <w:sz w:val="20"/>
                <w:szCs w:val="20"/>
              </w:rPr>
            </w:pPr>
          </w:p>
          <w:p w14:paraId="3670B1AA" w14:textId="77777777" w:rsidR="00551992" w:rsidRDefault="00551992">
            <w:pPr>
              <w:spacing w:line="240" w:lineRule="auto"/>
              <w:rPr>
                <w:rFonts w:ascii="Calibri" w:eastAsia="Calibri" w:hAnsi="Calibri" w:cs="Calibri"/>
                <w:sz w:val="20"/>
                <w:szCs w:val="20"/>
              </w:rPr>
            </w:pPr>
          </w:p>
          <w:p w14:paraId="1C5C858D" w14:textId="77777777" w:rsidR="00551992" w:rsidRDefault="00551992">
            <w:pPr>
              <w:spacing w:line="240" w:lineRule="auto"/>
            </w:pPr>
          </w:p>
        </w:tc>
        <w:tc>
          <w:tcPr>
            <w:tcW w:w="7050" w:type="dxa"/>
            <w:shd w:val="clear" w:color="auto" w:fill="B4A7D6"/>
            <w:tcMar>
              <w:top w:w="100" w:type="dxa"/>
              <w:left w:w="100" w:type="dxa"/>
              <w:bottom w:w="100" w:type="dxa"/>
              <w:right w:w="170" w:type="dxa"/>
            </w:tcMar>
          </w:tcPr>
          <w:p w14:paraId="247C2DF1" w14:textId="77777777" w:rsidR="00551992" w:rsidRPr="00D90A3F" w:rsidRDefault="004F5B43">
            <w:pPr>
              <w:widowControl w:val="0"/>
              <w:spacing w:before="240" w:after="240" w:line="240" w:lineRule="auto"/>
              <w:rPr>
                <w:rFonts w:ascii="Corbel" w:hAnsi="Corbel"/>
                <w:b/>
              </w:rPr>
            </w:pPr>
            <w:r w:rsidRPr="00D90A3F">
              <w:rPr>
                <w:rFonts w:ascii="Corbel" w:hAnsi="Corbel"/>
                <w:b/>
              </w:rPr>
              <w:t>Accompanying annotation:</w:t>
            </w:r>
          </w:p>
          <w:p w14:paraId="50ACAC42" w14:textId="2A96C894" w:rsidR="003B10A9" w:rsidRPr="00D90A3F" w:rsidRDefault="003B10A9">
            <w:pPr>
              <w:spacing w:line="240" w:lineRule="auto"/>
              <w:rPr>
                <w:rFonts w:ascii="Corbel" w:eastAsia="Calibri" w:hAnsi="Corbel" w:cs="Calibri"/>
              </w:rPr>
            </w:pPr>
            <w:r w:rsidRPr="00D90A3F">
              <w:rPr>
                <w:rFonts w:ascii="Corbel" w:eastAsia="Calibri" w:hAnsi="Corbel" w:cs="Calibri"/>
              </w:rPr>
              <w:t xml:space="preserve">1. </w:t>
            </w:r>
            <w:r w:rsidRPr="00D90A3F">
              <w:rPr>
                <w:rFonts w:ascii="Corbel" w:eastAsia="Calibri" w:hAnsi="Corbel" w:cs="Calibri"/>
              </w:rPr>
              <w:t>The original inscription on the Symonds Street memorial stated that the New Zealand Wars took place from 1845 to 1866. This date range may have been chosen because imperial troops withdrew in 1866 when the colonial government adopted a policy of self-reliance. This interpretation reinforces an imperialist perspective, framing the wars as part of Britain’s expansion.</w:t>
            </w:r>
          </w:p>
          <w:p w14:paraId="79DACF48" w14:textId="77777777" w:rsidR="003B10A9" w:rsidRPr="00D90A3F" w:rsidRDefault="003B10A9">
            <w:pPr>
              <w:spacing w:line="240" w:lineRule="auto"/>
              <w:rPr>
                <w:rFonts w:ascii="Corbel" w:eastAsia="Calibri" w:hAnsi="Corbel" w:cs="Calibri"/>
              </w:rPr>
            </w:pPr>
          </w:p>
          <w:p w14:paraId="24D0335C" w14:textId="77777777" w:rsidR="003B10A9" w:rsidRPr="00D90A3F" w:rsidRDefault="003B10A9">
            <w:pPr>
              <w:spacing w:line="240" w:lineRule="auto"/>
              <w:rPr>
                <w:rFonts w:ascii="Corbel" w:eastAsia="Calibri" w:hAnsi="Corbel" w:cs="Calibri"/>
              </w:rPr>
            </w:pPr>
          </w:p>
          <w:p w14:paraId="4AFB4779" w14:textId="4A82C6A9" w:rsidR="00551992" w:rsidRPr="00D90A3F" w:rsidRDefault="003B10A9">
            <w:pPr>
              <w:spacing w:line="240" w:lineRule="auto"/>
              <w:rPr>
                <w:rFonts w:ascii="Corbel" w:eastAsia="Calibri" w:hAnsi="Corbel" w:cs="Calibri"/>
              </w:rPr>
            </w:pPr>
            <w:r w:rsidRPr="00D90A3F">
              <w:rPr>
                <w:rFonts w:ascii="Corbel" w:eastAsia="Calibri" w:hAnsi="Corbel" w:cs="Calibri"/>
              </w:rPr>
              <w:t xml:space="preserve">2. </w:t>
            </w:r>
            <w:r w:rsidR="004F5B43" w:rsidRPr="00D90A3F">
              <w:rPr>
                <w:rFonts w:ascii="Corbel" w:eastAsia="Calibri" w:hAnsi="Corbel" w:cs="Calibri"/>
              </w:rPr>
              <w:t>An alternative explanation is that the Waikato War ended with land confiscations in 1865</w:t>
            </w:r>
            <w:r w:rsidRPr="00D90A3F">
              <w:rPr>
                <w:rFonts w:ascii="Corbel" w:eastAsia="Calibri" w:hAnsi="Corbel" w:cs="Calibri"/>
              </w:rPr>
              <w:t xml:space="preserve"> after which </w:t>
            </w:r>
            <w:r w:rsidR="00D90A3F" w:rsidRPr="00D90A3F">
              <w:rPr>
                <w:rFonts w:ascii="Corbel" w:eastAsia="Calibri" w:hAnsi="Corbel" w:cs="Calibri"/>
              </w:rPr>
              <w:t>t</w:t>
            </w:r>
            <w:r w:rsidR="004F5B43" w:rsidRPr="00D90A3F">
              <w:rPr>
                <w:rFonts w:ascii="Corbel" w:eastAsia="Calibri" w:hAnsi="Corbel" w:cs="Calibri"/>
              </w:rPr>
              <w:t xml:space="preserve">he nature of the </w:t>
            </w:r>
            <w:r w:rsidR="00D90A3F" w:rsidRPr="00D90A3F">
              <w:rPr>
                <w:rFonts w:ascii="Corbel" w:eastAsia="Calibri" w:hAnsi="Corbel" w:cs="Calibri"/>
              </w:rPr>
              <w:t xml:space="preserve">conflicts </w:t>
            </w:r>
            <w:r w:rsidR="004F5B43" w:rsidRPr="00D90A3F">
              <w:rPr>
                <w:rFonts w:ascii="Corbel" w:eastAsia="Calibri" w:hAnsi="Corbel" w:cs="Calibri"/>
              </w:rPr>
              <w:t xml:space="preserve">shifted, as the Second Taranaki War and the pursuits of </w:t>
            </w:r>
            <w:proofErr w:type="spellStart"/>
            <w:r w:rsidR="004F5B43" w:rsidRPr="00D90A3F">
              <w:rPr>
                <w:rFonts w:ascii="Corbel" w:eastAsia="Calibri" w:hAnsi="Corbel" w:cs="Calibri"/>
              </w:rPr>
              <w:t>Tītokowaru</w:t>
            </w:r>
            <w:proofErr w:type="spellEnd"/>
            <w:r w:rsidR="004F5B43" w:rsidRPr="00D90A3F">
              <w:rPr>
                <w:rFonts w:ascii="Corbel" w:eastAsia="Calibri" w:hAnsi="Corbel" w:cs="Calibri"/>
              </w:rPr>
              <w:t xml:space="preserve"> and Te Kooti were shaped by the emergence of new Māori prophetic movements. The retreat of the Kīngitanga in the Waikato may have provided an easier ending for Pākehā to claim that the wars had been won.</w:t>
            </w:r>
          </w:p>
          <w:p w14:paraId="24F1CD64" w14:textId="77777777" w:rsidR="00551992" w:rsidRPr="00D90A3F" w:rsidRDefault="00551992">
            <w:pPr>
              <w:spacing w:line="240" w:lineRule="auto"/>
              <w:rPr>
                <w:rFonts w:ascii="Corbel" w:eastAsia="Calibri" w:hAnsi="Corbel" w:cs="Calibri"/>
              </w:rPr>
            </w:pPr>
          </w:p>
          <w:p w14:paraId="6B614666" w14:textId="6A807D72" w:rsidR="00551992" w:rsidRPr="00D90A3F" w:rsidRDefault="00D90A3F">
            <w:pPr>
              <w:spacing w:line="240" w:lineRule="auto"/>
              <w:rPr>
                <w:rFonts w:ascii="Corbel" w:eastAsia="Calibri" w:hAnsi="Corbel" w:cs="Calibri"/>
              </w:rPr>
            </w:pPr>
            <w:r w:rsidRPr="00D90A3F">
              <w:rPr>
                <w:rFonts w:ascii="Corbel" w:eastAsia="Calibri" w:hAnsi="Corbel" w:cs="Calibri"/>
              </w:rPr>
              <w:t xml:space="preserve">3. </w:t>
            </w:r>
            <w:r w:rsidRPr="00D90A3F">
              <w:rPr>
                <w:rFonts w:ascii="Corbel" w:eastAsia="Calibri" w:hAnsi="Corbel" w:cs="Calibri"/>
              </w:rPr>
              <w:t>The memorial has sparked debate over how the New Zealand Wars should be remembered. Some concerns include the absence of a te reo Māori inscription and the removal of ‘and Empire’ from the text. While the memorial promoted one version of history, it became a focal point for reflecting on different perspectives.</w:t>
            </w:r>
          </w:p>
          <w:p w14:paraId="0DD6A56D" w14:textId="77777777" w:rsidR="00551992" w:rsidRDefault="00551992">
            <w:pPr>
              <w:spacing w:line="240" w:lineRule="auto"/>
              <w:rPr>
                <w:rFonts w:ascii="Calibri" w:eastAsia="Calibri" w:hAnsi="Calibri" w:cs="Calibri"/>
                <w:sz w:val="20"/>
                <w:szCs w:val="20"/>
              </w:rPr>
            </w:pPr>
          </w:p>
          <w:p w14:paraId="7E950F80" w14:textId="77777777" w:rsidR="00551992" w:rsidRDefault="00551992">
            <w:pPr>
              <w:spacing w:line="240" w:lineRule="auto"/>
              <w:rPr>
                <w:rFonts w:ascii="Calibri" w:eastAsia="Calibri" w:hAnsi="Calibri" w:cs="Calibri"/>
                <w:sz w:val="20"/>
                <w:szCs w:val="20"/>
              </w:rPr>
            </w:pPr>
          </w:p>
        </w:tc>
      </w:tr>
    </w:tbl>
    <w:p w14:paraId="5B443985" w14:textId="77777777" w:rsidR="00551992" w:rsidRDefault="00551992"/>
    <w:sectPr w:rsidR="00551992">
      <w:headerReference w:type="default" r:id="rId8"/>
      <w:pgSz w:w="16834" w:h="11909" w:orient="landscape"/>
      <w:pgMar w:top="566" w:right="566" w:bottom="566"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CC8E" w14:textId="77777777" w:rsidR="004F5B43" w:rsidRDefault="004F5B43">
      <w:pPr>
        <w:spacing w:line="240" w:lineRule="auto"/>
      </w:pPr>
      <w:r>
        <w:separator/>
      </w:r>
    </w:p>
  </w:endnote>
  <w:endnote w:type="continuationSeparator" w:id="0">
    <w:p w14:paraId="0CC35564" w14:textId="77777777" w:rsidR="004F5B43" w:rsidRDefault="004F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B8BE" w14:textId="77777777" w:rsidR="004F5B43" w:rsidRDefault="004F5B43">
      <w:pPr>
        <w:spacing w:line="240" w:lineRule="auto"/>
      </w:pPr>
      <w:r>
        <w:separator/>
      </w:r>
    </w:p>
  </w:footnote>
  <w:footnote w:type="continuationSeparator" w:id="0">
    <w:p w14:paraId="249C9047" w14:textId="77777777" w:rsidR="004F5B43" w:rsidRDefault="004F5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AC89" w14:textId="76917FFF" w:rsidR="00551992" w:rsidRDefault="00FD31B6">
    <w:pPr>
      <w:jc w:val="center"/>
      <w:rPr>
        <w:b/>
      </w:rPr>
    </w:pPr>
    <w:r>
      <w:rPr>
        <w:b/>
      </w:rPr>
      <w:t xml:space="preserve">10.1 An Overdue Memorial: </w:t>
    </w:r>
    <w:r w:rsidR="004F5B43">
      <w:rPr>
        <w:b/>
      </w:rPr>
      <w:t xml:space="preserve">Early </w:t>
    </w:r>
    <w:r w:rsidR="00D90A3F">
      <w:rPr>
        <w:b/>
      </w:rPr>
      <w:t>C</w:t>
    </w:r>
    <w:r w:rsidR="004F5B43">
      <w:rPr>
        <w:b/>
      </w:rPr>
      <w:t>riticism of the Symonds Street/Wakefield Street New Zealand Wars Memorial</w:t>
    </w:r>
  </w:p>
  <w:p w14:paraId="19B2DCC9" w14:textId="77777777" w:rsidR="00551992" w:rsidRDefault="00551992">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65FA9"/>
    <w:multiLevelType w:val="multilevel"/>
    <w:tmpl w:val="3CD2A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300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92"/>
    <w:rsid w:val="00086773"/>
    <w:rsid w:val="003B10A9"/>
    <w:rsid w:val="004F5B43"/>
    <w:rsid w:val="00551992"/>
    <w:rsid w:val="005D0751"/>
    <w:rsid w:val="00AF079D"/>
    <w:rsid w:val="00BA061F"/>
    <w:rsid w:val="00D90A3F"/>
    <w:rsid w:val="00E72AC1"/>
    <w:rsid w:val="00F25B3C"/>
    <w:rsid w:val="00FD31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DBD"/>
  <w15:docId w15:val="{FCD4CB38-4BC1-4952-A543-A000951B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72AC1"/>
    <w:pPr>
      <w:tabs>
        <w:tab w:val="center" w:pos="4513"/>
        <w:tab w:val="right" w:pos="9026"/>
      </w:tabs>
      <w:spacing w:line="240" w:lineRule="auto"/>
    </w:pPr>
  </w:style>
  <w:style w:type="character" w:customStyle="1" w:styleId="HeaderChar">
    <w:name w:val="Header Char"/>
    <w:basedOn w:val="DefaultParagraphFont"/>
    <w:link w:val="Header"/>
    <w:uiPriority w:val="99"/>
    <w:rsid w:val="00E72AC1"/>
  </w:style>
  <w:style w:type="paragraph" w:styleId="Footer">
    <w:name w:val="footer"/>
    <w:basedOn w:val="Normal"/>
    <w:link w:val="FooterChar"/>
    <w:uiPriority w:val="99"/>
    <w:unhideWhenUsed/>
    <w:rsid w:val="00E72AC1"/>
    <w:pPr>
      <w:tabs>
        <w:tab w:val="center" w:pos="4513"/>
        <w:tab w:val="right" w:pos="9026"/>
      </w:tabs>
      <w:spacing w:line="240" w:lineRule="auto"/>
    </w:pPr>
  </w:style>
  <w:style w:type="character" w:customStyle="1" w:styleId="FooterChar">
    <w:name w:val="Footer Char"/>
    <w:basedOn w:val="DefaultParagraphFont"/>
    <w:link w:val="Footer"/>
    <w:uiPriority w:val="99"/>
    <w:rsid w:val="00E72AC1"/>
  </w:style>
  <w:style w:type="character" w:styleId="CommentReference">
    <w:name w:val="annotation reference"/>
    <w:basedOn w:val="DefaultParagraphFont"/>
    <w:uiPriority w:val="99"/>
    <w:semiHidden/>
    <w:unhideWhenUsed/>
    <w:rsid w:val="00E72AC1"/>
    <w:rPr>
      <w:sz w:val="16"/>
      <w:szCs w:val="16"/>
    </w:rPr>
  </w:style>
  <w:style w:type="paragraph" w:styleId="CommentText">
    <w:name w:val="annotation text"/>
    <w:basedOn w:val="Normal"/>
    <w:link w:val="CommentTextChar"/>
    <w:uiPriority w:val="99"/>
    <w:unhideWhenUsed/>
    <w:rsid w:val="00E72AC1"/>
    <w:pPr>
      <w:spacing w:line="240" w:lineRule="auto"/>
    </w:pPr>
    <w:rPr>
      <w:sz w:val="20"/>
      <w:szCs w:val="20"/>
    </w:rPr>
  </w:style>
  <w:style w:type="character" w:customStyle="1" w:styleId="CommentTextChar">
    <w:name w:val="Comment Text Char"/>
    <w:basedOn w:val="DefaultParagraphFont"/>
    <w:link w:val="CommentText"/>
    <w:uiPriority w:val="99"/>
    <w:rsid w:val="00E72AC1"/>
    <w:rPr>
      <w:sz w:val="20"/>
      <w:szCs w:val="20"/>
    </w:rPr>
  </w:style>
  <w:style w:type="paragraph" w:styleId="CommentSubject">
    <w:name w:val="annotation subject"/>
    <w:basedOn w:val="CommentText"/>
    <w:next w:val="CommentText"/>
    <w:link w:val="CommentSubjectChar"/>
    <w:uiPriority w:val="99"/>
    <w:semiHidden/>
    <w:unhideWhenUsed/>
    <w:rsid w:val="00E72AC1"/>
    <w:rPr>
      <w:b/>
      <w:bCs/>
    </w:rPr>
  </w:style>
  <w:style w:type="character" w:customStyle="1" w:styleId="CommentSubjectChar">
    <w:name w:val="Comment Subject Char"/>
    <w:basedOn w:val="CommentTextChar"/>
    <w:link w:val="CommentSubject"/>
    <w:uiPriority w:val="99"/>
    <w:semiHidden/>
    <w:rsid w:val="00E72AC1"/>
    <w:rPr>
      <w:b/>
      <w:bCs/>
      <w:sz w:val="20"/>
      <w:szCs w:val="20"/>
    </w:rPr>
  </w:style>
  <w:style w:type="character" w:styleId="Hyperlink">
    <w:name w:val="Hyperlink"/>
    <w:basedOn w:val="DefaultParagraphFont"/>
    <w:uiPriority w:val="99"/>
    <w:unhideWhenUsed/>
    <w:rsid w:val="00D90A3F"/>
    <w:rPr>
      <w:color w:val="0000FF" w:themeColor="hyperlink"/>
      <w:u w:val="single"/>
    </w:rPr>
  </w:style>
  <w:style w:type="character" w:styleId="UnresolvedMention">
    <w:name w:val="Unresolved Mention"/>
    <w:basedOn w:val="DefaultParagraphFont"/>
    <w:uiPriority w:val="99"/>
    <w:semiHidden/>
    <w:unhideWhenUsed/>
    <w:rsid w:val="00D9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perspast.natlib.govt.nz/newspapers/auckland-star/1920/08/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Urlich</dc:creator>
  <cp:lastModifiedBy>Rochelle Urlich</cp:lastModifiedBy>
  <cp:revision>9</cp:revision>
  <dcterms:created xsi:type="dcterms:W3CDTF">2024-10-17T02:53:00Z</dcterms:created>
  <dcterms:modified xsi:type="dcterms:W3CDTF">2025-03-04T04:25:00Z</dcterms:modified>
</cp:coreProperties>
</file>